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AAB7E">
      <w:pPr>
        <w:spacing w:line="580" w:lineRule="exact"/>
        <w:jc w:val="center"/>
        <w:rPr>
          <w:rFonts w:ascii="方正小标宋简体" w:hAnsi="Times New Roman" w:eastAsia="方正小标宋简体" w:cs="Times New Roman"/>
          <w:bCs/>
          <w:kern w:val="0"/>
          <w:sz w:val="44"/>
          <w:szCs w:val="44"/>
        </w:rPr>
      </w:pPr>
      <w:r>
        <w:rPr>
          <w:rFonts w:hint="eastAsia" w:ascii="方正小标宋简体" w:hAnsi="Times New Roman" w:eastAsia="方正小标宋简体" w:cs="Times New Roman"/>
          <w:bCs/>
          <w:kern w:val="0"/>
          <w:sz w:val="44"/>
          <w:szCs w:val="44"/>
        </w:rPr>
        <w:t>江西省地方标准</w:t>
      </w:r>
    </w:p>
    <w:p w14:paraId="1CA21A48">
      <w:pPr>
        <w:spacing w:line="580" w:lineRule="exact"/>
        <w:jc w:val="center"/>
        <w:rPr>
          <w:rFonts w:ascii="方正小标宋简体" w:hAnsi="Times New Roman" w:eastAsia="方正小标宋简体" w:cs="Times New Roman"/>
          <w:bCs/>
          <w:kern w:val="0"/>
          <w:sz w:val="44"/>
          <w:szCs w:val="44"/>
        </w:rPr>
      </w:pPr>
      <w:r>
        <w:rPr>
          <w:rFonts w:hint="eastAsia" w:ascii="方正小标宋简体" w:hAnsi="Times New Roman" w:eastAsia="方正小标宋简体" w:cs="Times New Roman"/>
          <w:bCs/>
          <w:kern w:val="0"/>
          <w:sz w:val="44"/>
          <w:szCs w:val="44"/>
        </w:rPr>
        <w:t>《重大决策社会稳定风险评估工作规范》</w:t>
      </w:r>
    </w:p>
    <w:p w14:paraId="571890C1">
      <w:pPr>
        <w:spacing w:line="580" w:lineRule="exact"/>
        <w:jc w:val="center"/>
        <w:rPr>
          <w:rFonts w:ascii="方正小标宋简体" w:hAnsi="Times New Roman" w:eastAsia="方正小标宋简体" w:cs="Times New Roman"/>
          <w:bCs/>
          <w:kern w:val="0"/>
          <w:sz w:val="44"/>
          <w:szCs w:val="44"/>
        </w:rPr>
      </w:pPr>
      <w:r>
        <w:rPr>
          <w:rFonts w:hint="eastAsia" w:ascii="方正小标宋简体" w:hAnsi="Times New Roman" w:eastAsia="方正小标宋简体" w:cs="Times New Roman"/>
          <w:bCs/>
          <w:kern w:val="0"/>
          <w:sz w:val="44"/>
          <w:szCs w:val="44"/>
        </w:rPr>
        <w:t>编制说明</w:t>
      </w:r>
    </w:p>
    <w:p w14:paraId="51C45705"/>
    <w:p w14:paraId="3C25F454">
      <w:pPr>
        <w:numPr>
          <w:ilvl w:val="0"/>
          <w:numId w:val="0"/>
        </w:numPr>
        <w:ind w:firstLine="640" w:firstLineChars="200"/>
        <w:rPr>
          <w:rFonts w:hint="eastAsia" w:ascii="黑体" w:hAnsi="Times New Roman" w:eastAsia="黑体" w:cs="Times New Roman"/>
          <w:sz w:val="32"/>
          <w:szCs w:val="32"/>
          <w:lang w:val="en-US" w:eastAsia="zh-CN"/>
        </w:rPr>
      </w:pPr>
      <w:r>
        <w:rPr>
          <w:rFonts w:hint="eastAsia" w:ascii="黑体" w:hAnsi="Times New Roman" w:eastAsia="黑体" w:cs="Times New Roman"/>
          <w:kern w:val="2"/>
          <w:sz w:val="32"/>
          <w:szCs w:val="32"/>
          <w:lang w:val="en-US" w:eastAsia="zh-CN" w:bidi="ar-SA"/>
        </w:rPr>
        <w:t>一、</w:t>
      </w:r>
      <w:r>
        <w:rPr>
          <w:rFonts w:hint="eastAsia" w:ascii="黑体" w:hAnsi="Times New Roman" w:eastAsia="黑体" w:cs="Times New Roman"/>
          <w:sz w:val="32"/>
          <w:szCs w:val="32"/>
          <w:lang w:val="en-US" w:eastAsia="zh-CN"/>
        </w:rPr>
        <w:t>任务来源</w:t>
      </w:r>
    </w:p>
    <w:p w14:paraId="5F3DA999">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根据《江西省市场监管局关于下达2024年第三批江西省地方标准制修订计划的通知》（赣市监标〔2024〕10号），《重大决策社会稳定风险评估工作规范》列入本次江西省地方标准制修订计划，计划号为：DB36-2024-3-01，由中共江西省委政法委员会提出，由江西财经大学、中共江西省委政法委员会两个单位共同承担本标准的起草工作。</w:t>
      </w:r>
    </w:p>
    <w:p w14:paraId="580288F0">
      <w:pPr>
        <w:numPr>
          <w:ilvl w:val="0"/>
          <w:numId w:val="0"/>
        </w:numPr>
        <w:ind w:firstLine="640" w:firstLineChars="200"/>
        <w:rPr>
          <w:rFonts w:hint="default" w:ascii="黑体" w:hAnsi="Times New Roman" w:eastAsia="黑体" w:cs="Times New Roman"/>
          <w:sz w:val="32"/>
          <w:szCs w:val="32"/>
          <w:lang w:val="en-US" w:eastAsia="zh-CN"/>
        </w:rPr>
      </w:pPr>
      <w:r>
        <w:rPr>
          <w:rFonts w:hint="eastAsia" w:ascii="黑体" w:hAnsi="Times New Roman" w:eastAsia="黑体" w:cs="Times New Roman"/>
          <w:kern w:val="2"/>
          <w:sz w:val="32"/>
          <w:szCs w:val="32"/>
          <w:lang w:val="en-US" w:eastAsia="zh-CN" w:bidi="ar-SA"/>
        </w:rPr>
        <w:t>二、编制背景、目的和意义</w:t>
      </w:r>
    </w:p>
    <w:p w14:paraId="03A201CF">
      <w:pPr>
        <w:widowControl/>
        <w:spacing w:line="580" w:lineRule="exact"/>
        <w:ind w:firstLine="643" w:firstLineChars="200"/>
        <w:outlineLvl w:val="0"/>
        <w:rPr>
          <w:rFonts w:ascii="仿宋_GB2312" w:hAnsi="Times New Roman" w:eastAsia="仿宋_GB2312" w:cs="Times New Roman"/>
          <w:b/>
          <w:bCs/>
          <w:kern w:val="0"/>
          <w:sz w:val="32"/>
          <w:szCs w:val="32"/>
        </w:rPr>
      </w:pPr>
      <w:r>
        <w:rPr>
          <w:rFonts w:hint="eastAsia" w:ascii="仿宋_GB2312" w:hAnsi="Times New Roman" w:eastAsia="仿宋_GB2312" w:cs="Times New Roman"/>
          <w:b/>
          <w:bCs/>
          <w:kern w:val="0"/>
          <w:sz w:val="32"/>
          <w:szCs w:val="32"/>
        </w:rPr>
        <w:t>（一）编制背景</w:t>
      </w:r>
    </w:p>
    <w:p w14:paraId="3D93177B">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重大决策社会稳定风险评估（简称稳评）</w:t>
      </w:r>
      <w:r>
        <w:rPr>
          <w:rFonts w:hint="default" w:ascii="仿宋_GB2312" w:eastAsia="仿宋_GB2312"/>
          <w:sz w:val="32"/>
          <w:szCs w:val="32"/>
          <w:lang w:val="en-US" w:eastAsia="zh-CN"/>
        </w:rPr>
        <w:t>工作是重大决策过程的重要组成部分，是指在</w:t>
      </w:r>
      <w:r>
        <w:rPr>
          <w:rFonts w:hint="eastAsia" w:ascii="仿宋_GB2312" w:eastAsia="仿宋_GB2312"/>
          <w:sz w:val="32"/>
          <w:szCs w:val="32"/>
          <w:lang w:val="en-US" w:eastAsia="zh-CN"/>
        </w:rPr>
        <w:t>重大</w:t>
      </w:r>
      <w:r>
        <w:rPr>
          <w:rFonts w:hint="default" w:ascii="仿宋_GB2312" w:eastAsia="仿宋_GB2312"/>
          <w:sz w:val="32"/>
          <w:szCs w:val="32"/>
          <w:lang w:val="en-US" w:eastAsia="zh-CN"/>
        </w:rPr>
        <w:t>决策过程中，对可能影响社会稳定的因素开展系统调查，科学分析和评估，制定风险应对策略和预案。</w:t>
      </w:r>
    </w:p>
    <w:p w14:paraId="1110F91F">
      <w:pPr>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为深入贯彻落实党中央、国务院、省委和省政府的决策部署，推动科学、民主、依法决策，全面提升我省稳评工作科学化、规范化、标准化水平。从源头上维护公共利益和社会公众切身利益，预防化解因重大决策不当可能引发的社会矛盾和纠纷，更好服务保障我省经济社会高质量发展。</w:t>
      </w:r>
    </w:p>
    <w:p w14:paraId="15ED2015">
      <w:pPr>
        <w:widowControl/>
        <w:numPr>
          <w:ilvl w:val="0"/>
          <w:numId w:val="1"/>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default" w:ascii="仿宋_GB2312" w:hAnsi="Times New Roman" w:eastAsia="仿宋_GB2312" w:cs="Times New Roman"/>
          <w:b/>
          <w:bCs/>
          <w:kern w:val="0"/>
          <w:sz w:val="32"/>
          <w:szCs w:val="32"/>
          <w:lang w:val="en-US" w:eastAsia="zh-CN"/>
        </w:rPr>
        <w:t>编制</w:t>
      </w:r>
      <w:r>
        <w:rPr>
          <w:rFonts w:hint="eastAsia" w:ascii="仿宋_GB2312" w:hAnsi="Times New Roman" w:eastAsia="仿宋_GB2312" w:cs="Times New Roman"/>
          <w:b/>
          <w:bCs/>
          <w:kern w:val="0"/>
          <w:sz w:val="32"/>
          <w:szCs w:val="32"/>
          <w:lang w:val="en-US" w:eastAsia="zh-CN"/>
        </w:rPr>
        <w:t>目的</w:t>
      </w:r>
    </w:p>
    <w:p w14:paraId="1BA9D6C5">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目前</w:t>
      </w:r>
      <w:r>
        <w:rPr>
          <w:rFonts w:hint="default" w:ascii="仿宋_GB2312" w:eastAsia="仿宋_GB2312"/>
          <w:sz w:val="32"/>
          <w:szCs w:val="32"/>
          <w:lang w:val="en-US" w:eastAsia="zh-CN"/>
        </w:rPr>
        <w:t>我省先后制定出台《江西省重大决策社会稳定风险评估实施办法》《江西省重大决策社会稳定风险评估第三方机构从业行为管理办法(试行)》《江西省重大决策社会稳定风险评估专家库管理办法(试行)》等，进一步规范全省稳评工作，从源头上防范化解社会矛盾风险。</w:t>
      </w:r>
    </w:p>
    <w:p w14:paraId="4D96FED2">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近十年来，全省共对3.4万件重大决策事项开展稳评，没有发生因稳评不到位引发的涉稳事端，有效筑牢了源头防控关口。但我省在稳步推进稳评向高质量发展过程中，在规范化、专业化建设等方面还存在一些差距。我省在稳评工作中尚未有可参照相关的国家标准、行业标准、地方标准。</w:t>
      </w:r>
    </w:p>
    <w:p w14:paraId="579488DE">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标准作为一种制度工具在经济建设中发挥着越来越大的作用，通过标准</w:t>
      </w:r>
      <w:r>
        <w:rPr>
          <w:rFonts w:hint="eastAsia" w:ascii="仿宋_GB2312" w:eastAsia="仿宋_GB2312"/>
          <w:sz w:val="32"/>
          <w:szCs w:val="32"/>
        </w:rPr>
        <w:t>规范和指导江西省各县（市、区）有效地开展</w:t>
      </w:r>
      <w:r>
        <w:rPr>
          <w:rFonts w:hint="eastAsia" w:ascii="仿宋_GB2312" w:eastAsia="仿宋_GB2312"/>
          <w:sz w:val="32"/>
          <w:szCs w:val="32"/>
          <w:lang w:val="en-US" w:eastAsia="zh-CN"/>
        </w:rPr>
        <w:t>稳评</w:t>
      </w:r>
      <w:r>
        <w:rPr>
          <w:rFonts w:hint="eastAsia" w:ascii="仿宋_GB2312" w:eastAsia="仿宋_GB2312"/>
          <w:sz w:val="32"/>
          <w:szCs w:val="32"/>
        </w:rPr>
        <w:t>工作</w:t>
      </w:r>
      <w:r>
        <w:rPr>
          <w:rFonts w:hint="eastAsia" w:ascii="仿宋_GB2312" w:eastAsia="仿宋_GB2312"/>
          <w:sz w:val="32"/>
          <w:szCs w:val="32"/>
          <w:lang w:val="en-US" w:eastAsia="zh-CN"/>
        </w:rPr>
        <w:t>具有重大意义</w:t>
      </w:r>
      <w:r>
        <w:rPr>
          <w:rFonts w:hint="eastAsia" w:ascii="仿宋_GB2312" w:eastAsia="仿宋_GB2312"/>
          <w:sz w:val="32"/>
          <w:szCs w:val="32"/>
        </w:rPr>
        <w:t>，为促进</w:t>
      </w:r>
      <w:r>
        <w:rPr>
          <w:rFonts w:hint="eastAsia" w:ascii="仿宋_GB2312" w:eastAsia="仿宋_GB2312"/>
          <w:sz w:val="32"/>
          <w:szCs w:val="32"/>
          <w:lang w:val="en-US" w:eastAsia="zh-CN"/>
        </w:rPr>
        <w:t>稳评工作的规范化发展</w:t>
      </w:r>
      <w:r>
        <w:rPr>
          <w:rFonts w:hint="eastAsia" w:ascii="仿宋_GB2312" w:eastAsia="仿宋_GB2312"/>
          <w:sz w:val="32"/>
          <w:szCs w:val="32"/>
        </w:rPr>
        <w:t>，在总结历年来社会稳定风险评估成功经验</w:t>
      </w:r>
      <w:r>
        <w:rPr>
          <w:rFonts w:hint="eastAsia" w:ascii="仿宋_GB2312" w:eastAsia="仿宋_GB2312"/>
          <w:sz w:val="32"/>
          <w:szCs w:val="32"/>
          <w:lang w:val="en-US" w:eastAsia="zh-CN"/>
        </w:rPr>
        <w:t>和</w:t>
      </w:r>
      <w:r>
        <w:rPr>
          <w:rFonts w:hint="eastAsia" w:ascii="仿宋_GB2312" w:eastAsia="仿宋_GB2312"/>
          <w:sz w:val="32"/>
          <w:szCs w:val="32"/>
        </w:rPr>
        <w:t>实践成果的基础上，开展</w:t>
      </w:r>
      <w:r>
        <w:rPr>
          <w:rFonts w:hint="eastAsia" w:ascii="仿宋_GB2312" w:eastAsia="仿宋_GB2312"/>
          <w:sz w:val="32"/>
          <w:szCs w:val="32"/>
          <w:lang w:val="en-US" w:eastAsia="zh-CN"/>
        </w:rPr>
        <w:t>本</w:t>
      </w:r>
      <w:r>
        <w:rPr>
          <w:rFonts w:hint="eastAsia" w:ascii="仿宋_GB2312" w:eastAsia="仿宋_GB2312"/>
          <w:sz w:val="32"/>
          <w:szCs w:val="32"/>
        </w:rPr>
        <w:t>标准</w:t>
      </w:r>
      <w:r>
        <w:rPr>
          <w:rFonts w:hint="eastAsia" w:ascii="仿宋_GB2312" w:eastAsia="仿宋_GB2312"/>
          <w:sz w:val="32"/>
          <w:szCs w:val="32"/>
          <w:lang w:val="en-US" w:eastAsia="zh-CN"/>
        </w:rPr>
        <w:t>的</w:t>
      </w:r>
      <w:r>
        <w:rPr>
          <w:rFonts w:hint="eastAsia" w:ascii="仿宋_GB2312" w:eastAsia="仿宋_GB2312"/>
          <w:sz w:val="32"/>
          <w:szCs w:val="32"/>
        </w:rPr>
        <w:t>编制工作。</w:t>
      </w:r>
    </w:p>
    <w:p w14:paraId="0AF142EC">
      <w:pPr>
        <w:widowControl/>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rPr>
        <w:t>（三）编制意义</w:t>
      </w:r>
    </w:p>
    <w:p w14:paraId="242E0F3B">
      <w:pPr>
        <w:ind w:firstLine="640" w:firstLineChars="200"/>
        <w:rPr>
          <w:rFonts w:hint="eastAsia" w:ascii="仿宋_GB2312" w:eastAsia="仿宋_GB2312"/>
          <w:sz w:val="32"/>
          <w:szCs w:val="32"/>
          <w:lang w:eastAsia="zh-CN"/>
        </w:rPr>
      </w:pPr>
      <w:r>
        <w:rPr>
          <w:rFonts w:hint="eastAsia" w:ascii="仿宋_GB2312" w:eastAsia="仿宋_GB2312"/>
          <w:sz w:val="32"/>
          <w:szCs w:val="32"/>
        </w:rPr>
        <w:t>对重大决策类型及其社会稳定风险评估进行标准化流程规定和规范性指标、方法的确立，为评估主体第三方评估机构、评审专家、稳评主管部门等从该标准中找到具体操作化依据和要求。该标准的制定，一方面有助于加强社会稳定风险评估的规范化和科学化，另一方面也可填补我省稳评实践缺乏标准化操作文件指导的空白。</w:t>
      </w:r>
    </w:p>
    <w:p w14:paraId="5A067DD7">
      <w:pPr>
        <w:numPr>
          <w:ilvl w:val="0"/>
          <w:numId w:val="0"/>
        </w:numPr>
        <w:ind w:firstLine="640" w:firstLineChars="200"/>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三、标准编制原则</w:t>
      </w:r>
    </w:p>
    <w:p w14:paraId="0F9B5071">
      <w:pPr>
        <w:ind w:firstLine="640" w:firstLineChars="200"/>
        <w:rPr>
          <w:rFonts w:hint="default" w:ascii="仿宋_GB2312" w:eastAsia="仿宋_GB2312"/>
          <w:b w:val="0"/>
          <w:bCs w:val="0"/>
          <w:sz w:val="32"/>
          <w:szCs w:val="32"/>
          <w:lang w:val="en-US" w:eastAsia="zh-CN"/>
        </w:rPr>
      </w:pPr>
      <w:r>
        <w:rPr>
          <w:rFonts w:hint="default" w:ascii="仿宋_GB2312" w:eastAsia="仿宋_GB2312"/>
          <w:b w:val="0"/>
          <w:bCs w:val="0"/>
          <w:sz w:val="32"/>
          <w:szCs w:val="32"/>
          <w:lang w:val="en-US" w:eastAsia="zh-CN"/>
        </w:rPr>
        <w:t>本标准在编制过程中，主要遵循了突出问题导向、立足务实好用和前后衔接配套的原则。</w:t>
      </w:r>
    </w:p>
    <w:p w14:paraId="56BB45DA">
      <w:pPr>
        <w:ind w:firstLine="640" w:firstLineChars="200"/>
        <w:rPr>
          <w:rFonts w:hint="default" w:ascii="仿宋_GB2312" w:eastAsia="仿宋_GB2312"/>
          <w:b w:val="0"/>
          <w:bCs w:val="0"/>
          <w:sz w:val="32"/>
          <w:szCs w:val="32"/>
          <w:lang w:val="en-US" w:eastAsia="zh-CN"/>
        </w:rPr>
      </w:pPr>
      <w:r>
        <w:rPr>
          <w:rFonts w:hint="default" w:ascii="仿宋_GB2312" w:eastAsia="仿宋_GB2312"/>
          <w:b w:val="0"/>
          <w:bCs w:val="0"/>
          <w:sz w:val="32"/>
          <w:szCs w:val="32"/>
          <w:lang w:val="en-US" w:eastAsia="zh-CN"/>
        </w:rPr>
        <w:t>一是突出问题导向。结合当前我省</w:t>
      </w:r>
      <w:r>
        <w:rPr>
          <w:rFonts w:hint="eastAsia" w:ascii="仿宋_GB2312" w:eastAsia="仿宋_GB2312"/>
          <w:b w:val="0"/>
          <w:bCs w:val="0"/>
          <w:sz w:val="32"/>
          <w:szCs w:val="32"/>
          <w:lang w:val="en-US" w:eastAsia="zh-CN"/>
        </w:rPr>
        <w:t>稳评</w:t>
      </w:r>
      <w:r>
        <w:rPr>
          <w:rFonts w:hint="default" w:ascii="仿宋_GB2312" w:eastAsia="仿宋_GB2312"/>
          <w:b w:val="0"/>
          <w:bCs w:val="0"/>
          <w:sz w:val="32"/>
          <w:szCs w:val="32"/>
          <w:lang w:val="en-US" w:eastAsia="zh-CN"/>
        </w:rPr>
        <w:t>工作中存在稳评不规范、程序不到位、方法不科学、审查不严谨等问题，有针对性地提出技术标准和明确要求。</w:t>
      </w:r>
    </w:p>
    <w:p w14:paraId="2614C5A9">
      <w:pPr>
        <w:ind w:firstLine="640" w:firstLineChars="200"/>
        <w:rPr>
          <w:rFonts w:hint="default" w:ascii="仿宋_GB2312" w:eastAsia="仿宋_GB2312"/>
          <w:b w:val="0"/>
          <w:bCs w:val="0"/>
          <w:sz w:val="32"/>
          <w:szCs w:val="32"/>
          <w:lang w:val="en-US" w:eastAsia="zh-CN"/>
        </w:rPr>
      </w:pPr>
      <w:r>
        <w:rPr>
          <w:rFonts w:hint="default" w:ascii="仿宋_GB2312" w:eastAsia="仿宋_GB2312"/>
          <w:b w:val="0"/>
          <w:bCs w:val="0"/>
          <w:sz w:val="32"/>
          <w:szCs w:val="32"/>
          <w:lang w:val="en-US" w:eastAsia="zh-CN"/>
        </w:rPr>
        <w:t>二是立足务实好用。标准力求科学合理、简洁明了，有良好的实用性和操作性，便于</w:t>
      </w:r>
      <w:r>
        <w:rPr>
          <w:rFonts w:hint="eastAsia" w:ascii="仿宋_GB2312" w:eastAsia="仿宋_GB2312"/>
          <w:b w:val="0"/>
          <w:bCs w:val="0"/>
          <w:sz w:val="32"/>
          <w:szCs w:val="32"/>
          <w:lang w:val="en-US" w:eastAsia="zh-CN"/>
        </w:rPr>
        <w:t>理解和</w:t>
      </w:r>
      <w:r>
        <w:rPr>
          <w:rFonts w:hint="default" w:ascii="仿宋_GB2312" w:eastAsia="仿宋_GB2312"/>
          <w:b w:val="0"/>
          <w:bCs w:val="0"/>
          <w:sz w:val="32"/>
          <w:szCs w:val="32"/>
          <w:lang w:val="en-US" w:eastAsia="zh-CN"/>
        </w:rPr>
        <w:t>实施。</w:t>
      </w:r>
    </w:p>
    <w:p w14:paraId="3024636B">
      <w:pPr>
        <w:ind w:firstLine="640" w:firstLineChars="200"/>
        <w:rPr>
          <w:rFonts w:hint="default" w:ascii="仿宋_GB2312" w:eastAsia="仿宋_GB2312"/>
          <w:sz w:val="32"/>
          <w:szCs w:val="32"/>
          <w:lang w:val="en-US" w:eastAsia="zh-CN"/>
        </w:rPr>
      </w:pPr>
      <w:r>
        <w:rPr>
          <w:rFonts w:hint="default" w:ascii="仿宋_GB2312" w:eastAsia="仿宋_GB2312"/>
          <w:b w:val="0"/>
          <w:bCs w:val="0"/>
          <w:sz w:val="32"/>
          <w:szCs w:val="32"/>
          <w:lang w:val="en-US" w:eastAsia="zh-CN"/>
        </w:rPr>
        <w:t>三是前后衔接配套。标准</w:t>
      </w:r>
      <w:r>
        <w:rPr>
          <w:rFonts w:hint="default" w:ascii="仿宋_GB2312" w:eastAsia="仿宋_GB2312"/>
          <w:sz w:val="32"/>
          <w:szCs w:val="32"/>
          <w:lang w:val="en-US" w:eastAsia="zh-CN"/>
        </w:rPr>
        <w:t>的具体内容、格式和要求等能有效衔接、配套现行国家和我省相关法律法规和政策文件，总体保持一致性。</w:t>
      </w:r>
    </w:p>
    <w:p w14:paraId="3474AF1E">
      <w:pPr>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lang w:val="en-US" w:eastAsia="zh-CN"/>
        </w:rPr>
        <w:t>四</w:t>
      </w:r>
      <w:r>
        <w:rPr>
          <w:rFonts w:hint="eastAsia" w:ascii="黑体" w:hAnsi="Times New Roman" w:eastAsia="黑体" w:cs="Times New Roman"/>
          <w:sz w:val="32"/>
          <w:szCs w:val="32"/>
        </w:rPr>
        <w:t>、</w:t>
      </w:r>
      <w:r>
        <w:rPr>
          <w:rFonts w:hint="eastAsia" w:ascii="黑体" w:hAnsi="Times New Roman" w:eastAsia="黑体" w:cs="Times New Roman"/>
          <w:sz w:val="32"/>
          <w:szCs w:val="32"/>
          <w:lang w:val="en-US" w:eastAsia="zh-CN"/>
        </w:rPr>
        <w:t>标准编制</w:t>
      </w:r>
      <w:r>
        <w:rPr>
          <w:rFonts w:hint="eastAsia" w:ascii="黑体" w:hAnsi="Times New Roman" w:eastAsia="黑体" w:cs="Times New Roman"/>
          <w:sz w:val="32"/>
          <w:szCs w:val="32"/>
        </w:rPr>
        <w:t>过程</w:t>
      </w:r>
    </w:p>
    <w:p w14:paraId="0AF368C8">
      <w:pPr>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本标准的主要编制过程如下：</w:t>
      </w:r>
    </w:p>
    <w:p w14:paraId="0FC4FECD">
      <w:pPr>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1.成立《重大决策社会稳定风险评估工作规范》省级地方标准起草小组，对该标准内容进行调研、论证，收集相关文献资料，完成前期调研和资料收集工作；多次召开标准起草研讨会，从学理上对本指标体系进行论证，对前期调研收集的资料进行筛选，确定标准起草的主要内容，完成标准草案起草；</w:t>
      </w:r>
    </w:p>
    <w:p w14:paraId="2AEF18F1">
      <w:pPr>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2.</w:t>
      </w:r>
      <w:r>
        <w:rPr>
          <w:rFonts w:hint="eastAsia" w:ascii="仿宋_GB2312" w:eastAsia="仿宋_GB2312"/>
          <w:sz w:val="32"/>
          <w:szCs w:val="32"/>
          <w:lang w:val="en-US" w:eastAsia="zh-CN"/>
        </w:rPr>
        <w:t>实地考察交流、</w:t>
      </w:r>
      <w:r>
        <w:rPr>
          <w:rFonts w:hint="default" w:ascii="仿宋_GB2312" w:eastAsia="仿宋_GB2312"/>
          <w:sz w:val="32"/>
          <w:szCs w:val="32"/>
          <w:lang w:val="en-US" w:eastAsia="zh-CN"/>
        </w:rPr>
        <w:t>整理资料、查阅文献，编制标准草案，形成标准征求意见稿；</w:t>
      </w:r>
    </w:p>
    <w:p w14:paraId="38B1593D">
      <w:pPr>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3.参加立项答辩，根据立项会专家意见修改标准文本。</w:t>
      </w:r>
    </w:p>
    <w:p w14:paraId="495275C7">
      <w:pPr>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bCs/>
          <w:kern w:val="0"/>
          <w:sz w:val="32"/>
          <w:szCs w:val="32"/>
          <w:lang w:val="en-US" w:eastAsia="zh-CN"/>
        </w:rPr>
        <w:t>五</w:t>
      </w:r>
      <w:r>
        <w:rPr>
          <w:rFonts w:hint="eastAsia" w:ascii="黑体" w:hAnsi="黑体" w:eastAsia="黑体" w:cs="黑体"/>
          <w:bCs/>
          <w:kern w:val="0"/>
          <w:sz w:val="32"/>
          <w:szCs w:val="32"/>
        </w:rPr>
        <w:t>、标准主要条款编制说明</w:t>
      </w:r>
    </w:p>
    <w:p w14:paraId="2E48EF70">
      <w:pPr>
        <w:widowControl/>
        <w:spacing w:line="580" w:lineRule="exact"/>
        <w:ind w:firstLine="643" w:firstLineChars="200"/>
        <w:outlineLvl w:val="0"/>
        <w:rPr>
          <w:rFonts w:hint="default"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rPr>
        <w:t>（</w:t>
      </w:r>
      <w:r>
        <w:rPr>
          <w:rFonts w:hint="eastAsia" w:ascii="仿宋_GB2312" w:hAnsi="Times New Roman" w:eastAsia="仿宋_GB2312" w:cs="Times New Roman"/>
          <w:b/>
          <w:bCs/>
          <w:kern w:val="0"/>
          <w:sz w:val="32"/>
          <w:szCs w:val="32"/>
          <w:lang w:val="en-US" w:eastAsia="zh-CN"/>
        </w:rPr>
        <w:t>一</w:t>
      </w:r>
      <w:r>
        <w:rPr>
          <w:rFonts w:hint="eastAsia" w:ascii="仿宋_GB2312" w:hAnsi="Times New Roman" w:eastAsia="仿宋_GB2312" w:cs="Times New Roman"/>
          <w:b/>
          <w:bCs/>
          <w:kern w:val="0"/>
          <w:sz w:val="32"/>
          <w:szCs w:val="32"/>
        </w:rPr>
        <w:t>）</w:t>
      </w:r>
      <w:r>
        <w:rPr>
          <w:rFonts w:hint="eastAsia" w:ascii="仿宋_GB2312" w:hAnsi="Times New Roman" w:eastAsia="仿宋_GB2312" w:cs="Times New Roman"/>
          <w:b/>
          <w:bCs/>
          <w:kern w:val="0"/>
          <w:sz w:val="32"/>
          <w:szCs w:val="32"/>
          <w:lang w:val="en-US" w:eastAsia="zh-CN"/>
        </w:rPr>
        <w:t>标准适用范围</w:t>
      </w:r>
    </w:p>
    <w:p w14:paraId="0410F424">
      <w:pPr>
        <w:ind w:firstLine="640" w:firstLineChars="200"/>
        <w:rPr>
          <w:rFonts w:hint="eastAsia" w:ascii="仿宋_GB2312" w:eastAsia="仿宋_GB2312"/>
          <w:sz w:val="32"/>
          <w:szCs w:val="32"/>
          <w:lang w:val="en-US" w:eastAsia="zh-CN"/>
        </w:rPr>
      </w:pPr>
      <w:r>
        <w:rPr>
          <w:rFonts w:hint="default" w:ascii="仿宋_GB2312" w:eastAsia="仿宋_GB2312"/>
          <w:sz w:val="32"/>
          <w:szCs w:val="32"/>
          <w:lang w:val="en-US" w:eastAsia="zh-CN"/>
        </w:rPr>
        <w:t>本标准界定了重大决策社会稳定风险评估的定义，确立了重大决策社会稳定风险评估的总体原则</w:t>
      </w:r>
      <w:r>
        <w:rPr>
          <w:rFonts w:hint="eastAsia" w:ascii="仿宋_GB2312" w:eastAsia="仿宋_GB2312"/>
          <w:sz w:val="32"/>
          <w:szCs w:val="32"/>
          <w:lang w:val="en-US" w:eastAsia="zh-CN"/>
        </w:rPr>
        <w:t>。</w:t>
      </w:r>
    </w:p>
    <w:p w14:paraId="24A3FEA4">
      <w:pPr>
        <w:widowControl/>
        <w:numPr>
          <w:ilvl w:val="0"/>
          <w:numId w:val="0"/>
        </w:numPr>
        <w:spacing w:line="580" w:lineRule="exact"/>
        <w:ind w:firstLine="643" w:firstLineChars="200"/>
        <w:outlineLvl w:val="0"/>
        <w:rPr>
          <w:rFonts w:hint="default"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bidi="ar-SA"/>
        </w:rPr>
        <w:t>（二）</w:t>
      </w:r>
      <w:r>
        <w:rPr>
          <w:rFonts w:hint="default" w:ascii="仿宋_GB2312" w:hAnsi="Times New Roman" w:eastAsia="仿宋_GB2312" w:cs="Times New Roman"/>
          <w:b/>
          <w:bCs/>
          <w:kern w:val="0"/>
          <w:sz w:val="32"/>
          <w:szCs w:val="32"/>
          <w:lang w:val="en-US" w:eastAsia="zh-CN"/>
        </w:rPr>
        <w:t>标准引用文件</w:t>
      </w:r>
    </w:p>
    <w:p w14:paraId="59570ACD">
      <w:pPr>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本标准没有规范性引用文件。</w:t>
      </w:r>
    </w:p>
    <w:p w14:paraId="06621BFE">
      <w:pPr>
        <w:widowControl/>
        <w:numPr>
          <w:ilvl w:val="0"/>
          <w:numId w:val="0"/>
        </w:numPr>
        <w:spacing w:line="580" w:lineRule="exact"/>
        <w:ind w:firstLine="643" w:firstLineChars="200"/>
        <w:outlineLvl w:val="0"/>
        <w:rPr>
          <w:rFonts w:hint="default"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bidi="ar-SA"/>
        </w:rPr>
        <w:t>（三）</w:t>
      </w:r>
      <w:r>
        <w:rPr>
          <w:rFonts w:hint="eastAsia" w:ascii="仿宋_GB2312" w:hAnsi="Times New Roman" w:eastAsia="仿宋_GB2312" w:cs="Times New Roman"/>
          <w:b/>
          <w:bCs/>
          <w:kern w:val="0"/>
          <w:sz w:val="32"/>
          <w:szCs w:val="32"/>
          <w:lang w:val="en-US" w:eastAsia="zh-CN"/>
        </w:rPr>
        <w:t>标准主要内容</w:t>
      </w:r>
    </w:p>
    <w:p w14:paraId="79AA333D">
      <w:pPr>
        <w:widowControl/>
        <w:numPr>
          <w:ilvl w:val="0"/>
          <w:numId w:val="0"/>
        </w:numPr>
        <w:spacing w:line="580" w:lineRule="exact"/>
        <w:ind w:firstLine="643" w:firstLineChars="200"/>
        <w:outlineLvl w:val="0"/>
        <w:rPr>
          <w:rFonts w:hint="default"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rPr>
        <w:t>1、</w:t>
      </w:r>
      <w:r>
        <w:rPr>
          <w:rFonts w:hint="default" w:ascii="仿宋_GB2312" w:hAnsi="Times New Roman" w:eastAsia="仿宋_GB2312" w:cs="Times New Roman"/>
          <w:b/>
          <w:bCs/>
          <w:kern w:val="0"/>
          <w:sz w:val="32"/>
          <w:szCs w:val="32"/>
          <w:lang w:val="en-US" w:eastAsia="zh-CN"/>
        </w:rPr>
        <w:t>术语和定义</w:t>
      </w:r>
    </w:p>
    <w:p w14:paraId="796CCC6E">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本标准对重大决策</w:t>
      </w:r>
      <w:r>
        <w:rPr>
          <w:rFonts w:hint="eastAsia" w:ascii="仿宋_GB2312" w:hAnsi="Times New Roman" w:eastAsia="仿宋_GB2312" w:cs="Times New Roman"/>
          <w:b w:val="0"/>
          <w:bCs w:val="0"/>
          <w:kern w:val="0"/>
          <w:sz w:val="32"/>
          <w:szCs w:val="32"/>
          <w:lang w:val="en-US" w:eastAsia="zh-CN" w:bidi="ar-SA"/>
        </w:rPr>
        <w:t>、重大决策社会稳定风险评估、决策主体、评估主体、风险防控主体、第三方评估机构、评审专家、利益相关者等</w:t>
      </w:r>
      <w:r>
        <w:rPr>
          <w:rFonts w:hint="default" w:ascii="仿宋_GB2312" w:hAnsi="Times New Roman" w:eastAsia="仿宋_GB2312" w:cs="Times New Roman"/>
          <w:b w:val="0"/>
          <w:bCs w:val="0"/>
          <w:kern w:val="0"/>
          <w:sz w:val="32"/>
          <w:szCs w:val="32"/>
          <w:lang w:val="en-US" w:eastAsia="zh-CN" w:bidi="ar-SA"/>
        </w:rPr>
        <w:t>做出了解释说明</w:t>
      </w:r>
      <w:r>
        <w:rPr>
          <w:rFonts w:hint="eastAsia" w:ascii="仿宋_GB2312" w:hAnsi="Times New Roman" w:eastAsia="仿宋_GB2312" w:cs="Times New Roman"/>
          <w:b w:val="0"/>
          <w:bCs w:val="0"/>
          <w:kern w:val="0"/>
          <w:sz w:val="32"/>
          <w:szCs w:val="32"/>
          <w:lang w:val="en-US" w:eastAsia="zh-CN" w:bidi="ar-SA"/>
        </w:rPr>
        <w:t>。</w:t>
      </w:r>
      <w:r>
        <w:rPr>
          <w:rFonts w:hint="default" w:ascii="仿宋_GB2312" w:hAnsi="Times New Roman" w:eastAsia="仿宋_GB2312" w:cs="Times New Roman"/>
          <w:b w:val="0"/>
          <w:bCs w:val="0"/>
          <w:kern w:val="0"/>
          <w:sz w:val="32"/>
          <w:szCs w:val="32"/>
          <w:lang w:val="en-US" w:eastAsia="zh-CN" w:bidi="ar-SA"/>
        </w:rPr>
        <w:t>详见标准文本第3部分。</w:t>
      </w:r>
    </w:p>
    <w:p w14:paraId="5204A425">
      <w:pPr>
        <w:widowControl/>
        <w:numPr>
          <w:ilvl w:val="0"/>
          <w:numId w:val="0"/>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bidi="ar-SA"/>
        </w:rPr>
        <w:t>2、</w:t>
      </w:r>
      <w:r>
        <w:rPr>
          <w:rFonts w:hint="eastAsia" w:ascii="仿宋_GB2312" w:hAnsi="Times New Roman" w:eastAsia="仿宋_GB2312" w:cs="Times New Roman"/>
          <w:b/>
          <w:bCs/>
          <w:kern w:val="0"/>
          <w:sz w:val="32"/>
          <w:szCs w:val="32"/>
          <w:lang w:val="en-US" w:eastAsia="zh-CN"/>
        </w:rPr>
        <w:t>总体原则</w:t>
      </w:r>
    </w:p>
    <w:p w14:paraId="62EC33E9">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明确了评估工作应遵循的原则，包括坚持党的领导、以人民为中心、高质量发展、应评尽评、全面客观、评用并重和全程管控。</w:t>
      </w:r>
    </w:p>
    <w:p w14:paraId="5166BBC8">
      <w:pPr>
        <w:widowControl/>
        <w:numPr>
          <w:ilvl w:val="0"/>
          <w:numId w:val="2"/>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rPr>
        <w:t>评估范围</w:t>
      </w:r>
    </w:p>
    <w:p w14:paraId="5917DCA9">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评估范围</w:t>
      </w:r>
      <w:r>
        <w:rPr>
          <w:rFonts w:hint="eastAsia" w:ascii="仿宋_GB2312" w:hAnsi="Times New Roman" w:eastAsia="仿宋_GB2312" w:cs="Times New Roman"/>
          <w:b w:val="0"/>
          <w:bCs w:val="0"/>
          <w:kern w:val="0"/>
          <w:sz w:val="32"/>
          <w:szCs w:val="32"/>
          <w:lang w:val="en-US" w:eastAsia="zh-CN" w:bidi="ar-SA"/>
        </w:rPr>
        <w:t>是</w:t>
      </w:r>
      <w:r>
        <w:rPr>
          <w:rFonts w:hint="default" w:ascii="仿宋_GB2312" w:hAnsi="Times New Roman" w:eastAsia="仿宋_GB2312" w:cs="Times New Roman"/>
          <w:b w:val="0"/>
          <w:bCs w:val="0"/>
          <w:kern w:val="0"/>
          <w:sz w:val="32"/>
          <w:szCs w:val="32"/>
          <w:lang w:val="en-US" w:eastAsia="zh-CN" w:bidi="ar-SA"/>
        </w:rPr>
        <w:t>按照重大政策制定或调整类、重大改革改制类、重大项目建设类、重大活动安排类、其他重大决策事项等五大类型，逐一详细列出了每类型需要进行社会稳定风险评估的具体事项，为各地解决哪些事项应当稳评提供了指引。</w:t>
      </w:r>
    </w:p>
    <w:p w14:paraId="25657334">
      <w:pPr>
        <w:widowControl/>
        <w:numPr>
          <w:ilvl w:val="0"/>
          <w:numId w:val="2"/>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rPr>
        <w:t>评估方式</w:t>
      </w:r>
    </w:p>
    <w:p w14:paraId="4AF71E5F">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评估方式</w:t>
      </w:r>
      <w:r>
        <w:rPr>
          <w:rFonts w:hint="eastAsia" w:ascii="仿宋_GB2312" w:hAnsi="Times New Roman" w:eastAsia="仿宋_GB2312" w:cs="Times New Roman"/>
          <w:b w:val="0"/>
          <w:bCs w:val="0"/>
          <w:kern w:val="0"/>
          <w:sz w:val="32"/>
          <w:szCs w:val="32"/>
          <w:lang w:val="en-US" w:eastAsia="zh-CN" w:bidi="ar-SA"/>
        </w:rPr>
        <w:t>分为自行评估和委托评估，并</w:t>
      </w:r>
      <w:r>
        <w:rPr>
          <w:rFonts w:hint="default" w:ascii="仿宋_GB2312" w:hAnsi="Times New Roman" w:eastAsia="仿宋_GB2312" w:cs="Times New Roman"/>
          <w:b w:val="0"/>
          <w:bCs w:val="0"/>
          <w:kern w:val="0"/>
          <w:sz w:val="32"/>
          <w:szCs w:val="32"/>
          <w:lang w:val="en-US" w:eastAsia="zh-CN" w:bidi="ar-SA"/>
        </w:rPr>
        <w:t>规定了自行评估和委托评估两种方式的操作要求，明确了评估主体在不同情况下的责任和行为准则。</w:t>
      </w:r>
    </w:p>
    <w:p w14:paraId="75474CFA">
      <w:pPr>
        <w:widowControl/>
        <w:numPr>
          <w:ilvl w:val="0"/>
          <w:numId w:val="2"/>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rPr>
        <w:t>评估程序</w:t>
      </w:r>
    </w:p>
    <w:p w14:paraId="3AF7CDFD">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评估程序详细规定了评估的各个步骤，包括方案制定、风险调查、分析研判、等级确定、报告编制、评审、备案和档案建立等，确保评估过程的规范性和系统性。</w:t>
      </w:r>
    </w:p>
    <w:p w14:paraId="1B70E818">
      <w:pPr>
        <w:widowControl/>
        <w:numPr>
          <w:ilvl w:val="0"/>
          <w:numId w:val="2"/>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rPr>
        <w:t>结果运用及后评估</w:t>
      </w:r>
    </w:p>
    <w:p w14:paraId="4156B330">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结果运用及后评估，明确了评估结果如何应用于决策过程，以及在何种条件下启动后评估，包括后评估的程序和要求，确保评估结果的有效性和决策的科学性。</w:t>
      </w:r>
    </w:p>
    <w:p w14:paraId="33A816BC">
      <w:pPr>
        <w:widowControl/>
        <w:numPr>
          <w:ilvl w:val="0"/>
          <w:numId w:val="0"/>
        </w:numPr>
        <w:spacing w:line="580" w:lineRule="exact"/>
        <w:ind w:firstLine="643" w:firstLineChars="200"/>
        <w:outlineLvl w:val="0"/>
        <w:rPr>
          <w:rFonts w:hint="default"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bidi="ar-SA"/>
        </w:rPr>
        <w:t>7</w:t>
      </w:r>
      <w:r>
        <w:rPr>
          <w:rFonts w:hint="default" w:ascii="仿宋_GB2312" w:hAnsi="Times New Roman" w:eastAsia="仿宋_GB2312" w:cs="Times New Roman"/>
          <w:b/>
          <w:bCs/>
          <w:kern w:val="0"/>
          <w:sz w:val="32"/>
          <w:szCs w:val="32"/>
          <w:lang w:val="en-US" w:eastAsia="zh-CN" w:bidi="ar-SA"/>
        </w:rPr>
        <w:t>、</w:t>
      </w:r>
      <w:r>
        <w:rPr>
          <w:rFonts w:hint="default" w:ascii="仿宋_GB2312" w:hAnsi="Times New Roman" w:eastAsia="仿宋_GB2312" w:cs="Times New Roman"/>
          <w:b/>
          <w:bCs/>
          <w:kern w:val="0"/>
          <w:sz w:val="32"/>
          <w:szCs w:val="32"/>
          <w:lang w:val="en-US" w:eastAsia="zh-CN"/>
        </w:rPr>
        <w:t>附录部分</w:t>
      </w:r>
    </w:p>
    <w:p w14:paraId="1EAED4EC">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主要提供详细的实用参考和指导规范，以提高稳评的效率和质量，由10个资料性和规范性的附录组成。</w:t>
      </w:r>
    </w:p>
    <w:p w14:paraId="12186A80">
      <w:pPr>
        <w:spacing w:line="580" w:lineRule="exact"/>
        <w:ind w:firstLine="640" w:firstLineChars="200"/>
        <w:rPr>
          <w:rFonts w:hint="default"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六</w:t>
      </w:r>
      <w:r>
        <w:rPr>
          <w:rFonts w:hint="default" w:ascii="黑体" w:hAnsi="黑体" w:eastAsia="黑体" w:cs="黑体"/>
          <w:bCs/>
          <w:kern w:val="0"/>
          <w:sz w:val="32"/>
          <w:szCs w:val="32"/>
          <w:lang w:val="en-US" w:eastAsia="zh-CN"/>
        </w:rPr>
        <w:t>、重大意见分歧的处理依据和结果</w:t>
      </w:r>
    </w:p>
    <w:p w14:paraId="142C2132">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本标准在制定过程中，未出现重大意见分歧。</w:t>
      </w:r>
    </w:p>
    <w:p w14:paraId="0A03A67F">
      <w:pPr>
        <w:spacing w:line="58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lang w:val="en-US" w:eastAsia="zh-CN"/>
        </w:rPr>
        <w:t>七</w:t>
      </w:r>
      <w:r>
        <w:rPr>
          <w:rFonts w:hint="eastAsia" w:ascii="黑体" w:hAnsi="黑体" w:eastAsia="黑体" w:cs="黑体"/>
          <w:bCs/>
          <w:kern w:val="0"/>
          <w:sz w:val="32"/>
          <w:szCs w:val="32"/>
        </w:rPr>
        <w:t>、与有关的现行法律、法规和强制性标准的关系</w:t>
      </w:r>
    </w:p>
    <w:p w14:paraId="53797A3A">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本标准与有关的现行法律、法规和强制性标准不冲突。</w:t>
      </w:r>
    </w:p>
    <w:p w14:paraId="66A38A9B">
      <w:pPr>
        <w:numPr>
          <w:ilvl w:val="0"/>
          <w:numId w:val="0"/>
        </w:numPr>
        <w:spacing w:line="580" w:lineRule="exact"/>
        <w:ind w:firstLine="640" w:firstLineChars="200"/>
        <w:rPr>
          <w:rFonts w:hint="default"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bidi="ar-SA"/>
        </w:rPr>
        <w:t>八、</w:t>
      </w:r>
      <w:r>
        <w:rPr>
          <w:rFonts w:hint="default" w:ascii="黑体" w:hAnsi="黑体" w:eastAsia="黑体" w:cs="黑体"/>
          <w:bCs/>
          <w:kern w:val="0"/>
          <w:sz w:val="32"/>
          <w:szCs w:val="32"/>
          <w:lang w:val="en-US" w:eastAsia="zh-CN"/>
        </w:rPr>
        <w:t>标准实施预期效益</w:t>
      </w:r>
    </w:p>
    <w:p w14:paraId="48F45628">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本标准旨在为</w:t>
      </w:r>
      <w:r>
        <w:rPr>
          <w:rFonts w:hint="eastAsia" w:ascii="仿宋_GB2312" w:hAnsi="Times New Roman" w:eastAsia="仿宋_GB2312" w:cs="Times New Roman"/>
          <w:b w:val="0"/>
          <w:bCs w:val="0"/>
          <w:kern w:val="0"/>
          <w:sz w:val="32"/>
          <w:szCs w:val="32"/>
          <w:lang w:val="en-US" w:eastAsia="zh-CN" w:bidi="ar-SA"/>
        </w:rPr>
        <w:t>江西省各县（市、区）职能部门、政法委、基础</w:t>
      </w:r>
      <w:bookmarkStart w:id="0" w:name="_GoBack"/>
      <w:bookmarkEnd w:id="0"/>
      <w:r>
        <w:rPr>
          <w:rFonts w:hint="eastAsia" w:ascii="仿宋_GB2312" w:hAnsi="Times New Roman" w:eastAsia="仿宋_GB2312" w:cs="Times New Roman"/>
          <w:b w:val="0"/>
          <w:bCs w:val="0"/>
          <w:kern w:val="0"/>
          <w:sz w:val="32"/>
          <w:szCs w:val="32"/>
          <w:lang w:val="en-US" w:eastAsia="zh-CN" w:bidi="ar-SA"/>
        </w:rPr>
        <w:t>组织开展决策事项社会稳定风险评估工作的参考性规范，各社会稳定风险评估工作的评估主体在严格执行《江西省重大决策社会稳定风险评估实施办法》的基础上，按照本地方标准明确总体原则、评估范围、评估方式、评估程序、结果运用及后评估等各项工作，为进一步加强我省稳评工作的高质量、高水平发展奠定基础。</w:t>
      </w:r>
    </w:p>
    <w:p w14:paraId="367685AE">
      <w:pPr>
        <w:numPr>
          <w:ilvl w:val="0"/>
          <w:numId w:val="0"/>
        </w:numPr>
        <w:spacing w:line="580" w:lineRule="exact"/>
        <w:ind w:firstLine="640" w:firstLineChars="200"/>
        <w:rPr>
          <w:rFonts w:hint="default" w:ascii="黑体" w:hAnsi="黑体" w:eastAsia="黑体" w:cs="黑体"/>
          <w:bCs/>
          <w:kern w:val="0"/>
          <w:sz w:val="32"/>
          <w:szCs w:val="32"/>
          <w:lang w:val="en-US" w:eastAsia="zh-CN" w:bidi="ar-SA"/>
        </w:rPr>
      </w:pPr>
      <w:r>
        <w:rPr>
          <w:rFonts w:hint="eastAsia" w:ascii="黑体" w:hAnsi="黑体" w:eastAsia="黑体" w:cs="黑体"/>
          <w:bCs/>
          <w:kern w:val="0"/>
          <w:sz w:val="32"/>
          <w:szCs w:val="32"/>
          <w:lang w:val="en-US" w:eastAsia="zh-CN" w:bidi="ar-SA"/>
        </w:rPr>
        <w:t>九、</w:t>
      </w:r>
      <w:r>
        <w:rPr>
          <w:rFonts w:hint="default" w:ascii="黑体" w:hAnsi="黑体" w:eastAsia="黑体" w:cs="黑体"/>
          <w:bCs/>
          <w:kern w:val="0"/>
          <w:sz w:val="32"/>
          <w:szCs w:val="32"/>
          <w:lang w:val="en-US" w:eastAsia="zh-CN" w:bidi="ar-SA"/>
        </w:rPr>
        <w:t>贯彻标准的要求和措施建议</w:t>
      </w:r>
    </w:p>
    <w:p w14:paraId="151844D3">
      <w:pPr>
        <w:numPr>
          <w:ilvl w:val="0"/>
          <w:numId w:val="0"/>
        </w:numPr>
        <w:spacing w:line="580" w:lineRule="exact"/>
        <w:ind w:firstLine="640" w:firstLineChars="20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1.建议有关部门将本标准下发至各地各级政府部门。</w:t>
      </w:r>
    </w:p>
    <w:p w14:paraId="09E9B6A6">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2.建议召开宣讲会，详细讲解本标准的意义及相关要求。</w:t>
      </w:r>
    </w:p>
    <w:p w14:paraId="072A17CE">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3.建议各地认真对照本标准，梳理盘点本地区</w:t>
      </w:r>
      <w:r>
        <w:rPr>
          <w:rFonts w:hint="eastAsia" w:ascii="仿宋_GB2312" w:hAnsi="Times New Roman" w:eastAsia="仿宋_GB2312" w:cs="Times New Roman"/>
          <w:b w:val="0"/>
          <w:bCs w:val="0"/>
          <w:kern w:val="0"/>
          <w:sz w:val="32"/>
          <w:szCs w:val="32"/>
          <w:lang w:val="en-US" w:eastAsia="zh-CN" w:bidi="ar-SA"/>
        </w:rPr>
        <w:t>稳评工作的</w:t>
      </w:r>
      <w:r>
        <w:rPr>
          <w:rFonts w:hint="default" w:ascii="仿宋_GB2312" w:hAnsi="Times New Roman" w:eastAsia="仿宋_GB2312" w:cs="Times New Roman"/>
          <w:b w:val="0"/>
          <w:bCs w:val="0"/>
          <w:kern w:val="0"/>
          <w:sz w:val="32"/>
          <w:szCs w:val="32"/>
          <w:lang w:val="en-US" w:eastAsia="zh-CN" w:bidi="ar-SA"/>
        </w:rPr>
        <w:t>优势与短板，针对短板补齐不足，不断完善</w:t>
      </w:r>
      <w:r>
        <w:rPr>
          <w:rFonts w:hint="eastAsia" w:ascii="仿宋_GB2312" w:hAnsi="Times New Roman" w:eastAsia="仿宋_GB2312" w:cs="Times New Roman"/>
          <w:b w:val="0"/>
          <w:bCs w:val="0"/>
          <w:kern w:val="0"/>
          <w:sz w:val="32"/>
          <w:szCs w:val="32"/>
          <w:lang w:val="en-US" w:eastAsia="zh-CN" w:bidi="ar-SA"/>
        </w:rPr>
        <w:t>稳评工作的</w:t>
      </w:r>
      <w:r>
        <w:rPr>
          <w:rFonts w:hint="default" w:ascii="仿宋_GB2312" w:hAnsi="Times New Roman" w:eastAsia="仿宋_GB2312" w:cs="Times New Roman"/>
          <w:b w:val="0"/>
          <w:bCs w:val="0"/>
          <w:kern w:val="0"/>
          <w:sz w:val="32"/>
          <w:szCs w:val="32"/>
          <w:lang w:val="en-US" w:eastAsia="zh-CN" w:bidi="ar-SA"/>
        </w:rPr>
        <w:t>功能和实效。</w:t>
      </w:r>
    </w:p>
    <w:p w14:paraId="72CBBEA8">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p>
    <w:p w14:paraId="67F448AC">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p>
    <w:p w14:paraId="6C453DBA">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《重大决策社会稳定风险评估工作规范》标准起草小组</w:t>
      </w:r>
    </w:p>
    <w:p w14:paraId="62B60063">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 xml:space="preserve">                                202</w:t>
      </w:r>
      <w:r>
        <w:rPr>
          <w:rFonts w:hint="eastAsia" w:ascii="仿宋_GB2312" w:hAnsi="Times New Roman" w:eastAsia="仿宋_GB2312" w:cs="Times New Roman"/>
          <w:b w:val="0"/>
          <w:bCs w:val="0"/>
          <w:kern w:val="0"/>
          <w:sz w:val="32"/>
          <w:szCs w:val="32"/>
          <w:lang w:val="en-US" w:eastAsia="zh-CN" w:bidi="ar-SA"/>
        </w:rPr>
        <w:t>4</w:t>
      </w:r>
      <w:r>
        <w:rPr>
          <w:rFonts w:hint="default" w:ascii="仿宋_GB2312" w:hAnsi="Times New Roman" w:eastAsia="仿宋_GB2312" w:cs="Times New Roman"/>
          <w:b w:val="0"/>
          <w:bCs w:val="0"/>
          <w:kern w:val="0"/>
          <w:sz w:val="32"/>
          <w:szCs w:val="32"/>
          <w:lang w:val="en-US" w:eastAsia="zh-CN" w:bidi="ar-SA"/>
        </w:rPr>
        <w:t>年</w:t>
      </w:r>
      <w:r>
        <w:rPr>
          <w:rFonts w:hint="eastAsia" w:ascii="仿宋_GB2312" w:hAnsi="Times New Roman" w:eastAsia="仿宋_GB2312" w:cs="Times New Roman"/>
          <w:b w:val="0"/>
          <w:bCs w:val="0"/>
          <w:kern w:val="0"/>
          <w:sz w:val="32"/>
          <w:szCs w:val="32"/>
          <w:lang w:val="en-US" w:eastAsia="zh-CN" w:bidi="ar-SA"/>
        </w:rPr>
        <w:t>10</w:t>
      </w:r>
      <w:r>
        <w:rPr>
          <w:rFonts w:hint="default" w:ascii="仿宋_GB2312" w:hAnsi="Times New Roman" w:eastAsia="仿宋_GB2312" w:cs="Times New Roman"/>
          <w:b w:val="0"/>
          <w:bCs w:val="0"/>
          <w:kern w:val="0"/>
          <w:sz w:val="32"/>
          <w:szCs w:val="32"/>
          <w:lang w:val="en-US" w:eastAsia="zh-CN" w:bidi="ar-SA"/>
        </w:rPr>
        <w:t>月</w:t>
      </w:r>
      <w:r>
        <w:rPr>
          <w:rFonts w:hint="eastAsia" w:ascii="仿宋_GB2312" w:hAnsi="Times New Roman" w:eastAsia="仿宋_GB2312" w:cs="Times New Roman"/>
          <w:b w:val="0"/>
          <w:bCs w:val="0"/>
          <w:kern w:val="0"/>
          <w:sz w:val="32"/>
          <w:szCs w:val="32"/>
          <w:lang w:val="en-US" w:eastAsia="zh-CN" w:bidi="ar-SA"/>
        </w:rPr>
        <w:t>10</w:t>
      </w:r>
      <w:r>
        <w:rPr>
          <w:rFonts w:hint="default" w:ascii="仿宋_GB2312" w:hAnsi="Times New Roman" w:eastAsia="仿宋_GB2312" w:cs="Times New Roman"/>
          <w:b w:val="0"/>
          <w:bCs w:val="0"/>
          <w:kern w:val="0"/>
          <w:sz w:val="32"/>
          <w:szCs w:val="32"/>
          <w:lang w:val="en-US" w:eastAsia="zh-CN" w:bidi="ar-S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A6567A-9067-4B77-9BD6-80F612B0D9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0C1088A-B183-4404-B818-B8B208D918DF}"/>
  </w:font>
  <w:font w:name="方正小标宋简体">
    <w:panose1 w:val="02000000000000000000"/>
    <w:charset w:val="86"/>
    <w:family w:val="script"/>
    <w:pitch w:val="default"/>
    <w:sig w:usb0="00000001" w:usb1="08000000" w:usb2="00000000" w:usb3="00000000" w:csb0="00040000" w:csb1="00000000"/>
    <w:embedRegular r:id="rId3" w:fontKey="{19A91251-C3C4-4B13-B9D6-DB3E2713D2A2}"/>
  </w:font>
  <w:font w:name="仿宋_GB2312">
    <w:altName w:val="仿宋"/>
    <w:panose1 w:val="02010609030101010101"/>
    <w:charset w:val="86"/>
    <w:family w:val="modern"/>
    <w:pitch w:val="default"/>
    <w:sig w:usb0="00000000" w:usb1="00000000" w:usb2="00000000" w:usb3="00000000" w:csb0="00040000" w:csb1="00000000"/>
    <w:embedRegular r:id="rId4" w:fontKey="{322A95D5-8C28-4349-B1B2-36F7008FD4A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BD6554"/>
    <w:multiLevelType w:val="singleLevel"/>
    <w:tmpl w:val="FCBD6554"/>
    <w:lvl w:ilvl="0" w:tentative="0">
      <w:start w:val="2"/>
      <w:numFmt w:val="chineseCounting"/>
      <w:suff w:val="nothing"/>
      <w:lvlText w:val="（%1）"/>
      <w:lvlJc w:val="left"/>
      <w:rPr>
        <w:rFonts w:hint="eastAsia"/>
      </w:rPr>
    </w:lvl>
  </w:abstractNum>
  <w:abstractNum w:abstractNumId="1">
    <w:nsid w:val="5F6735D1"/>
    <w:multiLevelType w:val="singleLevel"/>
    <w:tmpl w:val="5F6735D1"/>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3B8B48E0"/>
    <w:rsid w:val="05490F6C"/>
    <w:rsid w:val="0B996E37"/>
    <w:rsid w:val="14E135FC"/>
    <w:rsid w:val="17F378CF"/>
    <w:rsid w:val="190A1374"/>
    <w:rsid w:val="1EBF49AE"/>
    <w:rsid w:val="27FD02F5"/>
    <w:rsid w:val="33582884"/>
    <w:rsid w:val="3B8B48E0"/>
    <w:rsid w:val="51CC6EC2"/>
    <w:rsid w:val="560A78F4"/>
    <w:rsid w:val="5A296BA4"/>
    <w:rsid w:val="5A647BDD"/>
    <w:rsid w:val="5F410B79"/>
    <w:rsid w:val="6115578D"/>
    <w:rsid w:val="63A66B70"/>
    <w:rsid w:val="6B065627"/>
    <w:rsid w:val="72552D31"/>
    <w:rsid w:val="73C117A4"/>
    <w:rsid w:val="77D73344"/>
    <w:rsid w:val="7F622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2376</Words>
  <Characters>2410</Characters>
  <Lines>0</Lines>
  <Paragraphs>0</Paragraphs>
  <TotalTime>17</TotalTime>
  <ScaleCrop>false</ScaleCrop>
  <LinksUpToDate>false</LinksUpToDate>
  <CharactersWithSpaces>2442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2024-10-09T01:46:00Z</dcterms:created>
  <dc:creator>好名字</dc:creator>
  <cp:lastModifiedBy>陈星瞳</cp:lastModifiedBy>
  <cp:lastPrinted>2024-10-09T06:02:00Z</cp:lastPrinted>
  <dcterms:modified xsi:type="dcterms:W3CDTF">2024-10-14T05:20:13Z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7A50EFFB9B0D41BEA47A409AADFD6703_11</vt:lpwstr>
  </property>
</Properties>
</file>